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6AA6B6" w14:textId="77777777" w:rsidR="00531F98" w:rsidRPr="000728DF" w:rsidRDefault="00531F98" w:rsidP="00531F98">
      <w:pPr>
        <w:pStyle w:val="NormalWeb"/>
        <w:shd w:val="clear" w:color="auto" w:fill="FFFFFF"/>
        <w:spacing w:before="120" w:beforeAutospacing="0" w:after="120" w:afterAutospacing="0"/>
        <w:rPr>
          <w:rFonts w:ascii="Sylfaen" w:hAnsi="Sylfaen" w:cs="Arial"/>
          <w:b/>
          <w:color w:val="222222"/>
          <w:sz w:val="22"/>
          <w:szCs w:val="22"/>
        </w:rPr>
      </w:pPr>
      <w:r w:rsidRPr="000728DF">
        <w:rPr>
          <w:rFonts w:ascii="Sylfaen" w:hAnsi="Sylfaen" w:cs="Arial"/>
          <w:b/>
          <w:color w:val="222222"/>
          <w:sz w:val="22"/>
          <w:szCs w:val="22"/>
        </w:rPr>
        <w:t xml:space="preserve">Raising revenues </w:t>
      </w:r>
      <w:r>
        <w:rPr>
          <w:rFonts w:ascii="Sylfaen" w:hAnsi="Sylfaen" w:cs="Arial"/>
          <w:b/>
          <w:color w:val="222222"/>
          <w:sz w:val="22"/>
          <w:szCs w:val="22"/>
        </w:rPr>
        <w:t>and cost containment in support of UHC</w:t>
      </w:r>
    </w:p>
    <w:p w14:paraId="5E8A7872" w14:textId="3FEC8833" w:rsidR="00531F98" w:rsidRDefault="00531F98" w:rsidP="00B96748">
      <w:pPr>
        <w:pStyle w:val="NormalWeb"/>
        <w:shd w:val="clear" w:color="auto" w:fill="FFFFFF"/>
        <w:spacing w:before="120" w:beforeAutospacing="0" w:after="120" w:afterAutospacing="0"/>
      </w:pPr>
      <w:r>
        <w:t>Revenue raising and effective</w:t>
      </w:r>
      <w:r>
        <w:t xml:space="preserve"> pooling of funds for health are important, but strategic purchasing is vital for countries to be able to progress towards UHC.</w:t>
      </w:r>
      <w:r w:rsidR="006447B5">
        <w:t xml:space="preserve"> </w:t>
      </w:r>
    </w:p>
    <w:p w14:paraId="1188EDEE" w14:textId="77777777" w:rsidR="00531F98" w:rsidRDefault="00531F98" w:rsidP="00B96748">
      <w:pPr>
        <w:pStyle w:val="NormalWeb"/>
        <w:shd w:val="clear" w:color="auto" w:fill="FFFFFF"/>
        <w:spacing w:before="120" w:beforeAutospacing="0" w:after="120" w:afterAutospacing="0"/>
      </w:pPr>
    </w:p>
    <w:p w14:paraId="30680E9A" w14:textId="1C9747D3" w:rsidR="00B96748" w:rsidRPr="0066456F" w:rsidRDefault="00B96748" w:rsidP="00B96748">
      <w:pPr>
        <w:pStyle w:val="NormalWeb"/>
        <w:shd w:val="clear" w:color="auto" w:fill="FFFFFF"/>
        <w:spacing w:before="120" w:beforeAutospacing="0" w:after="120" w:afterAutospacing="0"/>
        <w:rPr>
          <w:rFonts w:ascii="Sylfaen" w:hAnsi="Sylfaen" w:cs="Arial"/>
          <w:b/>
          <w:bCs/>
          <w:color w:val="222222"/>
          <w:sz w:val="22"/>
          <w:szCs w:val="22"/>
        </w:rPr>
      </w:pPr>
      <w:r w:rsidRPr="0066456F">
        <w:rPr>
          <w:rFonts w:ascii="Sylfaen" w:hAnsi="Sylfaen" w:cs="Arial"/>
          <w:b/>
          <w:bCs/>
          <w:color w:val="222222"/>
          <w:sz w:val="22"/>
          <w:szCs w:val="22"/>
        </w:rPr>
        <w:t>Innovative financing</w:t>
      </w:r>
      <w:r w:rsidR="0066456F" w:rsidRPr="0066456F">
        <w:rPr>
          <w:rFonts w:ascii="Sylfaen" w:hAnsi="Sylfaen" w:cs="Arial"/>
          <w:b/>
          <w:bCs/>
          <w:color w:val="222222"/>
          <w:sz w:val="22"/>
          <w:szCs w:val="22"/>
        </w:rPr>
        <w:t xml:space="preserve"> </w:t>
      </w:r>
      <w:r w:rsidR="0066456F" w:rsidRPr="0066456F">
        <w:rPr>
          <w:rFonts w:ascii="Sylfaen" w:hAnsi="Sylfaen" w:cs="Arial"/>
          <w:b/>
          <w:bCs/>
          <w:color w:val="000000"/>
          <w:sz w:val="22"/>
          <w:szCs w:val="22"/>
        </w:rPr>
        <w:t>instruments for global health</w:t>
      </w:r>
      <w:r w:rsidRPr="0066456F">
        <w:rPr>
          <w:rFonts w:ascii="Sylfaen" w:hAnsi="Sylfaen" w:cs="Arial"/>
          <w:color w:val="222222"/>
          <w:sz w:val="22"/>
          <w:szCs w:val="22"/>
        </w:rPr>
        <w:t> </w:t>
      </w:r>
      <w:r w:rsidRPr="0066456F">
        <w:rPr>
          <w:rFonts w:ascii="Sylfaen" w:hAnsi="Sylfaen" w:cs="Arial"/>
          <w:b/>
          <w:bCs/>
          <w:color w:val="222222"/>
          <w:sz w:val="22"/>
          <w:szCs w:val="22"/>
        </w:rPr>
        <w:t xml:space="preserve"> </w:t>
      </w:r>
    </w:p>
    <w:p w14:paraId="324158DC" w14:textId="77777777" w:rsidR="006447B5" w:rsidRPr="006447B5" w:rsidRDefault="006447B5" w:rsidP="00DF57BE">
      <w:pPr>
        <w:pStyle w:val="NormalWeb"/>
        <w:shd w:val="clear" w:color="auto" w:fill="FFFFFF"/>
        <w:spacing w:before="120" w:beforeAutospacing="0" w:after="120" w:afterAutospacing="0"/>
        <w:jc w:val="both"/>
        <w:rPr>
          <w:rFonts w:ascii="Sylfaen" w:hAnsi="Sylfaen" w:cs="Arial"/>
          <w:color w:val="222222"/>
          <w:sz w:val="22"/>
          <w:szCs w:val="22"/>
        </w:rPr>
      </w:pPr>
      <w:r w:rsidRPr="006447B5">
        <w:rPr>
          <w:rFonts w:ascii="Sylfaen" w:hAnsi="Sylfaen" w:cs="Arial"/>
          <w:color w:val="222222"/>
          <w:sz w:val="22"/>
          <w:szCs w:val="22"/>
        </w:rPr>
        <w:t xml:space="preserve">Innovative Finance is an approach to funding enterprises, interventions, and value chains that create positive social or environmental impact. It uses available financial tools (philanthropic and commercial) to catalyze and scale solutions, and when existing tools do not work it creates new ones. </w:t>
      </w:r>
    </w:p>
    <w:p w14:paraId="2BEBA506" w14:textId="0FFAC74B" w:rsidR="00C0236C" w:rsidRDefault="006447B5" w:rsidP="00DF57BE">
      <w:pPr>
        <w:pStyle w:val="NormalWeb"/>
        <w:shd w:val="clear" w:color="auto" w:fill="FFFFFF"/>
        <w:spacing w:before="120" w:beforeAutospacing="0" w:after="120" w:afterAutospacing="0"/>
        <w:jc w:val="both"/>
        <w:rPr>
          <w:rFonts w:ascii="Sylfaen" w:hAnsi="Sylfaen" w:cs="Arial"/>
          <w:color w:val="222222"/>
          <w:sz w:val="22"/>
          <w:szCs w:val="22"/>
        </w:rPr>
      </w:pPr>
      <w:r w:rsidRPr="006447B5">
        <w:rPr>
          <w:rFonts w:ascii="Sylfaen" w:hAnsi="Sylfaen" w:cs="Arial"/>
          <w:color w:val="222222"/>
          <w:sz w:val="22"/>
          <w:szCs w:val="22"/>
        </w:rPr>
        <w:t xml:space="preserve">Innovative finance often relies on partnerships to pool resources from a range of public and private sources to solve problems faster, more effectively, and at a larger scale than would be possible alone. </w:t>
      </w:r>
      <w:r w:rsidR="00DF57BE">
        <w:rPr>
          <w:rFonts w:ascii="Sylfaen" w:hAnsi="Sylfaen" w:cs="Arial"/>
          <w:color w:val="222222"/>
          <w:sz w:val="22"/>
          <w:szCs w:val="22"/>
        </w:rPr>
        <w:t>I</w:t>
      </w:r>
      <w:r w:rsidR="00DF57BE" w:rsidRPr="0061744E">
        <w:rPr>
          <w:rFonts w:ascii="Sylfaen" w:hAnsi="Sylfaen" w:cs="Arial"/>
          <w:color w:val="222222"/>
          <w:sz w:val="22"/>
          <w:szCs w:val="22"/>
        </w:rPr>
        <w:t>nnovative financing instruments (IFIs)</w:t>
      </w:r>
      <w:r w:rsidR="00DF57BE" w:rsidRPr="006447B5">
        <w:rPr>
          <w:rFonts w:ascii="Sylfaen" w:hAnsi="Sylfaen" w:cs="Arial"/>
          <w:color w:val="222222"/>
          <w:sz w:val="22"/>
          <w:szCs w:val="22"/>
        </w:rPr>
        <w:t xml:space="preserve"> </w:t>
      </w:r>
      <w:r w:rsidR="00DF57BE" w:rsidRPr="0066456F">
        <w:rPr>
          <w:rFonts w:ascii="Sylfaen" w:hAnsi="Sylfaen" w:cs="Arial"/>
          <w:color w:val="222222"/>
          <w:sz w:val="22"/>
          <w:szCs w:val="22"/>
        </w:rPr>
        <w:t>refer</w:t>
      </w:r>
      <w:r w:rsidR="0066456F" w:rsidRPr="0066456F">
        <w:rPr>
          <w:rFonts w:ascii="Sylfaen" w:hAnsi="Sylfaen" w:cs="Arial"/>
          <w:color w:val="222222"/>
          <w:sz w:val="22"/>
          <w:szCs w:val="22"/>
        </w:rPr>
        <w:t xml:space="preserve"> to a range of non-traditional mechanisms to raise </w:t>
      </w:r>
      <w:r w:rsidR="0066456F" w:rsidRPr="006447B5">
        <w:rPr>
          <w:rFonts w:ascii="Sylfaen" w:hAnsi="Sylfaen" w:cs="Arial"/>
          <w:color w:val="222222"/>
          <w:sz w:val="22"/>
          <w:szCs w:val="22"/>
        </w:rPr>
        <w:t>additional</w:t>
      </w:r>
      <w:r w:rsidR="0066456F" w:rsidRPr="0066456F">
        <w:rPr>
          <w:rFonts w:ascii="Sylfaen" w:hAnsi="Sylfaen" w:cs="Arial"/>
          <w:color w:val="222222"/>
          <w:sz w:val="22"/>
          <w:szCs w:val="22"/>
        </w:rPr>
        <w:t xml:space="preserve"> funds for development aid through "innovative" projects such as micro-contributions, taxes, public-private partnerships and market-based financial transactions. </w:t>
      </w:r>
    </w:p>
    <w:p w14:paraId="58DDC1CD" w14:textId="77777777" w:rsidR="00C0236C" w:rsidRPr="0066456F" w:rsidRDefault="0066456F" w:rsidP="00DF57BE">
      <w:pPr>
        <w:pStyle w:val="NormalWeb"/>
        <w:shd w:val="clear" w:color="auto" w:fill="FFFFFF"/>
        <w:spacing w:before="120" w:beforeAutospacing="0" w:after="120" w:afterAutospacing="0"/>
        <w:jc w:val="both"/>
        <w:rPr>
          <w:rFonts w:ascii="Sylfaen" w:hAnsi="Sylfaen" w:cs="Arial"/>
          <w:color w:val="222222"/>
          <w:sz w:val="22"/>
          <w:szCs w:val="22"/>
        </w:rPr>
      </w:pPr>
      <w:r w:rsidRPr="0066456F">
        <w:rPr>
          <w:rFonts w:ascii="Sylfaen" w:hAnsi="Sylfaen" w:cs="Arial"/>
          <w:color w:val="222222"/>
          <w:sz w:val="22"/>
          <w:szCs w:val="22"/>
        </w:rPr>
        <w:t xml:space="preserve">Innovative financing </w:t>
      </w:r>
      <w:r w:rsidRPr="0066456F">
        <w:rPr>
          <w:rFonts w:ascii="Sylfaen" w:hAnsi="Sylfaen" w:cs="Arial"/>
          <w:color w:val="222222"/>
          <w:sz w:val="22"/>
          <w:szCs w:val="22"/>
        </w:rPr>
        <w:t xml:space="preserve">gained prominence following the </w:t>
      </w:r>
      <w:r w:rsidRPr="0066456F">
        <w:rPr>
          <w:rFonts w:ascii="Sylfaen" w:hAnsi="Sylfaen" w:cs="Arial"/>
          <w:color w:val="222222"/>
          <w:sz w:val="22"/>
          <w:szCs w:val="22"/>
        </w:rPr>
        <w:t>International Conferen</w:t>
      </w:r>
      <w:r w:rsidRPr="0066456F">
        <w:rPr>
          <w:rFonts w:ascii="Sylfaen" w:hAnsi="Sylfaen" w:cs="Arial"/>
          <w:color w:val="222222"/>
          <w:sz w:val="22"/>
          <w:szCs w:val="22"/>
        </w:rPr>
        <w:t xml:space="preserve">ce on Financing for Development </w:t>
      </w:r>
      <w:r w:rsidRPr="0066456F">
        <w:rPr>
          <w:rFonts w:ascii="Sylfaen" w:hAnsi="Sylfaen" w:cs="Arial"/>
          <w:color w:val="222222"/>
          <w:sz w:val="22"/>
          <w:szCs w:val="22"/>
        </w:rPr>
        <w:t>in Monterrey, Mexico, in 2002,</w:t>
      </w:r>
      <w:r w:rsidRPr="0066456F">
        <w:rPr>
          <w:rFonts w:ascii="Sylfaen" w:hAnsi="Sylfaen" w:cs="Arial"/>
          <w:color w:val="222222"/>
          <w:sz w:val="22"/>
          <w:szCs w:val="22"/>
        </w:rPr>
        <w:t xml:space="preserve"> </w:t>
      </w:r>
      <w:r w:rsidRPr="0066456F">
        <w:rPr>
          <w:rFonts w:ascii="Sylfaen" w:hAnsi="Sylfaen" w:cs="Arial"/>
          <w:color w:val="222222"/>
          <w:sz w:val="22"/>
          <w:szCs w:val="22"/>
        </w:rPr>
        <w:t>as a means to provide</w:t>
      </w:r>
      <w:r w:rsidRPr="0066456F">
        <w:rPr>
          <w:rFonts w:ascii="Sylfaen" w:hAnsi="Sylfaen" w:cs="Arial"/>
          <w:color w:val="222222"/>
          <w:sz w:val="22"/>
          <w:szCs w:val="22"/>
        </w:rPr>
        <w:t xml:space="preserve"> </w:t>
      </w:r>
      <w:r w:rsidRPr="0066456F">
        <w:rPr>
          <w:rFonts w:ascii="Sylfaen" w:hAnsi="Sylfaen" w:cs="Arial"/>
          <w:color w:val="222222"/>
          <w:sz w:val="22"/>
          <w:szCs w:val="22"/>
        </w:rPr>
        <w:t>additional financing for global health. With the commitment</w:t>
      </w:r>
      <w:r w:rsidRPr="0066456F">
        <w:rPr>
          <w:rFonts w:ascii="Sylfaen" w:hAnsi="Sylfaen" w:cs="Arial"/>
          <w:color w:val="222222"/>
          <w:sz w:val="22"/>
          <w:szCs w:val="22"/>
        </w:rPr>
        <w:t xml:space="preserve"> </w:t>
      </w:r>
      <w:r w:rsidRPr="0066456F">
        <w:rPr>
          <w:rFonts w:ascii="Sylfaen" w:hAnsi="Sylfaen" w:cs="Arial"/>
          <w:color w:val="222222"/>
          <w:sz w:val="22"/>
          <w:szCs w:val="22"/>
        </w:rPr>
        <w:t>to</w:t>
      </w:r>
      <w:r w:rsidRPr="0066456F">
        <w:rPr>
          <w:rFonts w:ascii="Sylfaen" w:hAnsi="Sylfaen" w:cs="Arial"/>
          <w:color w:val="222222"/>
          <w:sz w:val="22"/>
          <w:szCs w:val="22"/>
        </w:rPr>
        <w:t xml:space="preserve"> the Millennium Development Goals </w:t>
      </w:r>
      <w:r w:rsidRPr="0066456F">
        <w:rPr>
          <w:rFonts w:ascii="Sylfaen" w:hAnsi="Sylfaen" w:cs="Arial"/>
          <w:color w:val="222222"/>
          <w:sz w:val="22"/>
          <w:szCs w:val="22"/>
        </w:rPr>
        <w:t>(MDGs),</w:t>
      </w:r>
      <w:r w:rsidRPr="0066456F">
        <w:rPr>
          <w:rFonts w:ascii="Sylfaen" w:hAnsi="Sylfaen" w:cs="Arial"/>
          <w:color w:val="222222"/>
          <w:sz w:val="22"/>
          <w:szCs w:val="22"/>
        </w:rPr>
        <w:t xml:space="preserve"> </w:t>
      </w:r>
      <w:r w:rsidRPr="0066456F">
        <w:rPr>
          <w:rFonts w:ascii="Sylfaen" w:hAnsi="Sylfaen" w:cs="Arial"/>
          <w:color w:val="222222"/>
          <w:sz w:val="22"/>
          <w:szCs w:val="22"/>
        </w:rPr>
        <w:t>the Taskforce on Innovative International</w:t>
      </w:r>
      <w:r w:rsidRPr="0066456F">
        <w:rPr>
          <w:rFonts w:ascii="Sylfaen" w:hAnsi="Sylfaen" w:cs="Arial"/>
          <w:color w:val="222222"/>
          <w:sz w:val="22"/>
          <w:szCs w:val="22"/>
        </w:rPr>
        <w:t xml:space="preserve"> </w:t>
      </w:r>
      <w:r w:rsidRPr="0066456F">
        <w:rPr>
          <w:rFonts w:ascii="Sylfaen" w:hAnsi="Sylfaen" w:cs="Arial"/>
          <w:color w:val="222222"/>
          <w:sz w:val="22"/>
          <w:szCs w:val="22"/>
        </w:rPr>
        <w:t xml:space="preserve">Financing for Health Systems was established, which identified several innovative financing sources as </w:t>
      </w:r>
      <w:r w:rsidRPr="0066456F">
        <w:rPr>
          <w:rFonts w:ascii="Sylfaen" w:hAnsi="Sylfaen" w:cs="Arial"/>
          <w:color w:val="222222"/>
          <w:sz w:val="22"/>
          <w:szCs w:val="22"/>
        </w:rPr>
        <w:t xml:space="preserve"> </w:t>
      </w:r>
      <w:r w:rsidRPr="0066456F">
        <w:rPr>
          <w:rFonts w:ascii="Sylfaen" w:hAnsi="Sylfaen" w:cs="Arial"/>
          <w:color w:val="222222"/>
          <w:sz w:val="22"/>
          <w:szCs w:val="22"/>
        </w:rPr>
        <w:t>promising altern</w:t>
      </w:r>
      <w:r w:rsidRPr="0066456F">
        <w:rPr>
          <w:rFonts w:ascii="Sylfaen" w:hAnsi="Sylfaen" w:cs="Arial"/>
          <w:color w:val="222222"/>
          <w:sz w:val="22"/>
          <w:szCs w:val="22"/>
        </w:rPr>
        <w:t xml:space="preserve">atives for supplementing DAH in </w:t>
      </w:r>
      <w:r w:rsidRPr="0066456F">
        <w:rPr>
          <w:rFonts w:ascii="Sylfaen" w:hAnsi="Sylfaen" w:cs="Arial"/>
          <w:color w:val="222222"/>
          <w:sz w:val="22"/>
          <w:szCs w:val="22"/>
        </w:rPr>
        <w:t>attaining the MDGs and address</w:t>
      </w:r>
      <w:r w:rsidRPr="0066456F">
        <w:rPr>
          <w:rFonts w:ascii="Sylfaen" w:hAnsi="Sylfaen" w:cs="Arial"/>
          <w:color w:val="222222"/>
          <w:sz w:val="22"/>
          <w:szCs w:val="22"/>
        </w:rPr>
        <w:t xml:space="preserve">ing the growing </w:t>
      </w:r>
      <w:proofErr w:type="spellStart"/>
      <w:r w:rsidRPr="0066456F">
        <w:rPr>
          <w:rFonts w:ascii="Sylfaen" w:hAnsi="Sylfaen" w:cs="Arial"/>
          <w:color w:val="222222"/>
          <w:sz w:val="22"/>
          <w:szCs w:val="22"/>
        </w:rPr>
        <w:t>noncommunicable</w:t>
      </w:r>
      <w:proofErr w:type="spellEnd"/>
      <w:r w:rsidRPr="0066456F">
        <w:rPr>
          <w:rFonts w:ascii="Sylfaen" w:hAnsi="Sylfaen" w:cs="Arial"/>
          <w:color w:val="222222"/>
          <w:sz w:val="22"/>
          <w:szCs w:val="22"/>
        </w:rPr>
        <w:t xml:space="preserve"> disease burden in </w:t>
      </w:r>
      <w:r w:rsidRPr="0066456F">
        <w:rPr>
          <w:rFonts w:ascii="Sylfaen" w:hAnsi="Sylfaen" w:cs="Arial"/>
          <w:color w:val="222222"/>
          <w:sz w:val="22"/>
          <w:szCs w:val="22"/>
        </w:rPr>
        <w:t>LMICs.</w:t>
      </w:r>
      <w:r w:rsidRPr="0066456F">
        <w:rPr>
          <w:rFonts w:ascii="Sylfaen" w:hAnsi="Sylfaen" w:cs="Arial"/>
          <w:color w:val="222222"/>
          <w:sz w:val="22"/>
          <w:szCs w:val="22"/>
        </w:rPr>
        <w:t xml:space="preserve"> </w:t>
      </w:r>
      <w:r w:rsidR="00C0236C" w:rsidRPr="0066456F">
        <w:rPr>
          <w:rFonts w:ascii="Sylfaen" w:hAnsi="Sylfaen" w:cs="Arial"/>
          <w:color w:val="222222"/>
          <w:sz w:val="22"/>
          <w:szCs w:val="22"/>
        </w:rPr>
        <w:t>Innovative Financing has received support from the United Nations through international conferences on Financing for Development and the Doha Declaration on Financing for Development.</w:t>
      </w:r>
    </w:p>
    <w:p w14:paraId="52BEBBC9" w14:textId="33A3A442" w:rsidR="00B96748" w:rsidRPr="0066456F" w:rsidRDefault="00B96748" w:rsidP="00DF57BE">
      <w:pPr>
        <w:pStyle w:val="NormalWeb"/>
        <w:shd w:val="clear" w:color="auto" w:fill="FFFFFF"/>
        <w:spacing w:before="120" w:beforeAutospacing="0" w:after="120" w:afterAutospacing="0"/>
        <w:jc w:val="both"/>
        <w:rPr>
          <w:rFonts w:ascii="Sylfaen" w:hAnsi="Sylfaen" w:cs="Arial"/>
          <w:color w:val="222222"/>
          <w:sz w:val="22"/>
          <w:szCs w:val="22"/>
        </w:rPr>
      </w:pPr>
      <w:proofErr w:type="spellStart"/>
      <w:r w:rsidRPr="0066456F">
        <w:rPr>
          <w:rFonts w:ascii="Sylfaen" w:hAnsi="Sylfaen" w:cs="Arial"/>
          <w:color w:val="222222"/>
          <w:sz w:val="22"/>
          <w:szCs w:val="22"/>
        </w:rPr>
        <w:t>Unitaid</w:t>
      </w:r>
      <w:proofErr w:type="spellEnd"/>
      <w:r w:rsidRPr="0066456F">
        <w:rPr>
          <w:rFonts w:ascii="Sylfaen" w:hAnsi="Sylfaen" w:cs="Arial"/>
          <w:color w:val="222222"/>
          <w:sz w:val="22"/>
          <w:szCs w:val="22"/>
        </w:rPr>
        <w:t>, an international facility for the purchase of drugs against HIV/AIDS, Malaria and Tuberculosis, is supported by a so-called "air ticket solidarity levy," or a tax on airline tickets. As of 2009, 13 countries apply such a domestic tax on airline tickets. UNITAID funds projects through implementing partners across the three diseases based on the market impact criteria (making medication prices affordable for developing countries).</w:t>
      </w:r>
    </w:p>
    <w:p w14:paraId="7A36FDF6" w14:textId="6A988A0F" w:rsidR="00B96748" w:rsidRPr="0066456F" w:rsidRDefault="00B96748" w:rsidP="00DF57BE">
      <w:pPr>
        <w:pStyle w:val="NormalWeb"/>
        <w:shd w:val="clear" w:color="auto" w:fill="FFFFFF"/>
        <w:spacing w:before="120" w:beforeAutospacing="0" w:after="120" w:afterAutospacing="0"/>
        <w:jc w:val="both"/>
        <w:rPr>
          <w:rFonts w:ascii="Sylfaen" w:hAnsi="Sylfaen" w:cs="Arial"/>
          <w:color w:val="222222"/>
          <w:sz w:val="22"/>
          <w:szCs w:val="22"/>
        </w:rPr>
      </w:pPr>
      <w:r w:rsidRPr="0066456F">
        <w:rPr>
          <w:rFonts w:ascii="Sylfaen" w:hAnsi="Sylfaen" w:cs="Arial"/>
          <w:color w:val="222222"/>
          <w:sz w:val="22"/>
          <w:szCs w:val="22"/>
        </w:rPr>
        <w:t xml:space="preserve">The International Finance Facility for </w:t>
      </w:r>
      <w:proofErr w:type="spellStart"/>
      <w:r w:rsidRPr="0066456F">
        <w:rPr>
          <w:rFonts w:ascii="Sylfaen" w:hAnsi="Sylfaen" w:cs="Arial"/>
          <w:color w:val="222222"/>
          <w:sz w:val="22"/>
          <w:szCs w:val="22"/>
        </w:rPr>
        <w:t>Immunisation</w:t>
      </w:r>
      <w:proofErr w:type="spellEnd"/>
      <w:r w:rsidRPr="0066456F">
        <w:rPr>
          <w:rFonts w:ascii="Sylfaen" w:hAnsi="Sylfaen" w:cs="Arial"/>
          <w:color w:val="222222"/>
          <w:sz w:val="22"/>
          <w:szCs w:val="22"/>
        </w:rPr>
        <w:t> (</w:t>
      </w:r>
      <w:proofErr w:type="spellStart"/>
      <w:r w:rsidRPr="0066456F">
        <w:rPr>
          <w:rFonts w:ascii="Sylfaen" w:hAnsi="Sylfaen" w:cs="Arial"/>
          <w:color w:val="222222"/>
          <w:sz w:val="22"/>
          <w:szCs w:val="22"/>
        </w:rPr>
        <w:t>IFFIm</w:t>
      </w:r>
      <w:proofErr w:type="spellEnd"/>
      <w:r w:rsidRPr="0066456F">
        <w:rPr>
          <w:rFonts w:ascii="Sylfaen" w:hAnsi="Sylfaen" w:cs="Arial"/>
          <w:color w:val="222222"/>
          <w:sz w:val="22"/>
          <w:szCs w:val="22"/>
        </w:rPr>
        <w:t xml:space="preserve">) issues bonds in the capital markets, converting long-term government pledges into immediately available cash resources. The pledges are used to repay </w:t>
      </w:r>
      <w:proofErr w:type="spellStart"/>
      <w:r w:rsidRPr="0066456F">
        <w:rPr>
          <w:rFonts w:ascii="Sylfaen" w:hAnsi="Sylfaen" w:cs="Arial"/>
          <w:color w:val="222222"/>
          <w:sz w:val="22"/>
          <w:szCs w:val="22"/>
        </w:rPr>
        <w:t>IFFIm</w:t>
      </w:r>
      <w:proofErr w:type="spellEnd"/>
      <w:r w:rsidRPr="0066456F">
        <w:rPr>
          <w:rFonts w:ascii="Sylfaen" w:hAnsi="Sylfaen" w:cs="Arial"/>
          <w:color w:val="222222"/>
          <w:sz w:val="22"/>
          <w:szCs w:val="22"/>
        </w:rPr>
        <w:t xml:space="preserve"> bondholders. These funds are collected for the GAVI Alliance (formerly the Global Alliance for Vaccines and </w:t>
      </w:r>
      <w:proofErr w:type="spellStart"/>
      <w:r w:rsidRPr="0066456F">
        <w:rPr>
          <w:rFonts w:ascii="Sylfaen" w:hAnsi="Sylfaen" w:cs="Arial"/>
          <w:color w:val="222222"/>
          <w:sz w:val="22"/>
          <w:szCs w:val="22"/>
        </w:rPr>
        <w:t>Immunisation</w:t>
      </w:r>
      <w:proofErr w:type="spellEnd"/>
      <w:r w:rsidRPr="0066456F">
        <w:rPr>
          <w:rFonts w:ascii="Sylfaen" w:hAnsi="Sylfaen" w:cs="Arial"/>
          <w:color w:val="222222"/>
          <w:sz w:val="22"/>
          <w:szCs w:val="22"/>
        </w:rPr>
        <w:t xml:space="preserve">). Since </w:t>
      </w:r>
      <w:proofErr w:type="spellStart"/>
      <w:r w:rsidRPr="0066456F">
        <w:rPr>
          <w:rFonts w:ascii="Sylfaen" w:hAnsi="Sylfaen" w:cs="Arial"/>
          <w:color w:val="222222"/>
          <w:sz w:val="22"/>
          <w:szCs w:val="22"/>
        </w:rPr>
        <w:t>IFFIm's</w:t>
      </w:r>
      <w:proofErr w:type="spellEnd"/>
      <w:r w:rsidRPr="0066456F">
        <w:rPr>
          <w:rFonts w:ascii="Sylfaen" w:hAnsi="Sylfaen" w:cs="Arial"/>
          <w:color w:val="222222"/>
          <w:sz w:val="22"/>
          <w:szCs w:val="22"/>
        </w:rPr>
        <w:t xml:space="preserve"> founding in 2006, it has provided close to half of GAVI's overall funding.</w:t>
      </w:r>
    </w:p>
    <w:p w14:paraId="2AB9AE72" w14:textId="77777777" w:rsidR="00B96748" w:rsidRPr="0066456F" w:rsidRDefault="00B96748" w:rsidP="00DF57BE">
      <w:pPr>
        <w:pStyle w:val="NormalWeb"/>
        <w:shd w:val="clear" w:color="auto" w:fill="FFFFFF"/>
        <w:spacing w:before="120" w:beforeAutospacing="0" w:after="120" w:afterAutospacing="0"/>
        <w:jc w:val="both"/>
        <w:rPr>
          <w:rFonts w:ascii="Sylfaen" w:hAnsi="Sylfaen" w:cs="Arial"/>
          <w:color w:val="222222"/>
          <w:sz w:val="22"/>
          <w:szCs w:val="22"/>
        </w:rPr>
      </w:pPr>
      <w:r w:rsidRPr="0066456F">
        <w:rPr>
          <w:rFonts w:ascii="Sylfaen" w:hAnsi="Sylfaen" w:cs="Arial"/>
          <w:color w:val="222222"/>
          <w:sz w:val="22"/>
          <w:szCs w:val="22"/>
        </w:rPr>
        <w:t>The Pneumococcal Advance Market Commitment (AMC) is a mechanism that supports the work of the GAVI Alliance by providing a financial incentive to manufacturers to invest in R&amp;D and expand manufacturing capacity for new vaccines. Governments or organizations commit to buy or subsidize the purchase of a certain amount of vaccines at a given price. The AMC has been implemented for pneumococcal vaccines to demonstrate both the feasibility of the AMC mechanism and its impact on accelerating the introduction and mass-production of these vaccines. As of summer 2012, the AMC had supported the introduction of pneumococcal vaccine in 17 developing countries.</w:t>
      </w:r>
    </w:p>
    <w:p w14:paraId="30660A6E" w14:textId="7BB199C5" w:rsidR="00B96748" w:rsidRPr="0066456F" w:rsidRDefault="00B96748" w:rsidP="00DF57BE">
      <w:pPr>
        <w:pStyle w:val="NormalWeb"/>
        <w:shd w:val="clear" w:color="auto" w:fill="FFFFFF"/>
        <w:spacing w:before="120" w:beforeAutospacing="0" w:after="120" w:afterAutospacing="0"/>
        <w:jc w:val="both"/>
        <w:rPr>
          <w:rFonts w:ascii="Sylfaen" w:hAnsi="Sylfaen" w:cs="Arial"/>
          <w:color w:val="222222"/>
          <w:sz w:val="22"/>
          <w:szCs w:val="22"/>
        </w:rPr>
      </w:pPr>
      <w:r w:rsidRPr="0066456F">
        <w:rPr>
          <w:rFonts w:ascii="Sylfaen" w:hAnsi="Sylfaen" w:cs="Arial"/>
          <w:color w:val="222222"/>
          <w:sz w:val="22"/>
          <w:szCs w:val="22"/>
        </w:rPr>
        <w:t>Product RED is a mechanism supporting The Global Fund to Fight AIDS, Tuberculosis and Malaria. Thanks to the mechanism, global companies contribute a share of their profits on goods from sales branded with the Product Red trademark.</w:t>
      </w:r>
    </w:p>
    <w:p w14:paraId="755D3B9E" w14:textId="77777777" w:rsidR="00C0236C" w:rsidRDefault="00B96748" w:rsidP="00DF57BE">
      <w:pPr>
        <w:pStyle w:val="NormalWeb"/>
        <w:shd w:val="clear" w:color="auto" w:fill="FFFFFF"/>
        <w:spacing w:before="120" w:beforeAutospacing="0" w:after="120" w:afterAutospacing="0"/>
        <w:jc w:val="both"/>
        <w:rPr>
          <w:rFonts w:ascii="Sylfaen" w:hAnsi="Sylfaen" w:cs="Arial"/>
          <w:color w:val="222222"/>
          <w:sz w:val="22"/>
          <w:szCs w:val="22"/>
        </w:rPr>
      </w:pPr>
      <w:r w:rsidRPr="0066456F">
        <w:rPr>
          <w:rFonts w:ascii="Sylfaen" w:hAnsi="Sylfaen" w:cs="Arial"/>
          <w:color w:val="222222"/>
          <w:sz w:val="22"/>
          <w:szCs w:val="22"/>
        </w:rPr>
        <w:lastRenderedPageBreak/>
        <w:t>Debt2Health is a mechanism supporting the Global Fund to fight HIV/AIDS, Tuberculosis and Malaria. Through this mechanism, the Global Fund facilitates debt negotiation between creditors and debtors. Creditors agree to forgo part of the repayment of the money due to them against the commitment of the debtor to invest an agreed-upon amount on Global Fund-approved programs.</w:t>
      </w:r>
    </w:p>
    <w:p w14:paraId="5E326409" w14:textId="54C0E7E3" w:rsidR="00C0236C" w:rsidRDefault="00B96748" w:rsidP="00DF57BE">
      <w:pPr>
        <w:pStyle w:val="NormalWeb"/>
        <w:shd w:val="clear" w:color="auto" w:fill="FFFFFF"/>
        <w:spacing w:before="120" w:beforeAutospacing="0" w:after="120" w:afterAutospacing="0"/>
        <w:jc w:val="both"/>
        <w:rPr>
          <w:rFonts w:ascii="Sylfaen" w:hAnsi="Sylfaen" w:cs="Arial"/>
          <w:color w:val="222222"/>
          <w:sz w:val="22"/>
          <w:szCs w:val="22"/>
        </w:rPr>
      </w:pPr>
      <w:r w:rsidRPr="0066456F">
        <w:rPr>
          <w:rFonts w:ascii="Sylfaen" w:hAnsi="Sylfaen" w:cs="Arial"/>
          <w:color w:val="222222"/>
          <w:sz w:val="22"/>
          <w:szCs w:val="22"/>
        </w:rPr>
        <w:t xml:space="preserve">Voluntary Contributions on travel and tourism products funds are collected by the Millennium Foundation through a donation to MASSIVEGOOD which lets </w:t>
      </w:r>
      <w:r w:rsidR="0061744E" w:rsidRPr="0066456F">
        <w:rPr>
          <w:rFonts w:ascii="Sylfaen" w:hAnsi="Sylfaen" w:cs="Arial"/>
          <w:color w:val="222222"/>
          <w:sz w:val="22"/>
          <w:szCs w:val="22"/>
        </w:rPr>
        <w:t>travelers</w:t>
      </w:r>
      <w:r w:rsidRPr="0066456F">
        <w:rPr>
          <w:rFonts w:ascii="Sylfaen" w:hAnsi="Sylfaen" w:cs="Arial"/>
          <w:color w:val="222222"/>
          <w:sz w:val="22"/>
          <w:szCs w:val="22"/>
        </w:rPr>
        <w:t xml:space="preserve"> make an optional $2, £2 or €2 "micro-contribution" every time they purchase a travel services. All funds go to UNITAID in its fight against HIV/AIDS, tuberculosis and malaria. Additional funding will go towards improving maternal and child health in the developing world.</w:t>
      </w:r>
      <w:r w:rsidR="0061744E">
        <w:rPr>
          <w:rFonts w:ascii="Sylfaen" w:hAnsi="Sylfaen" w:cs="Arial"/>
          <w:color w:val="222222"/>
          <w:sz w:val="22"/>
          <w:szCs w:val="22"/>
        </w:rPr>
        <w:t xml:space="preserve"> </w:t>
      </w:r>
      <w:r w:rsidRPr="0066456F">
        <w:rPr>
          <w:rFonts w:ascii="Sylfaen" w:hAnsi="Sylfaen" w:cs="Arial"/>
          <w:color w:val="222222"/>
          <w:sz w:val="22"/>
          <w:szCs w:val="22"/>
        </w:rPr>
        <w:t>De-Tax is a "proposal to earmark a share of VAT Taxes generated by participating businesses for health systems development". De-Tax is being discussed by the G20 countries.</w:t>
      </w:r>
    </w:p>
    <w:p w14:paraId="2E5C1EB1" w14:textId="25759C9F" w:rsidR="0061744E" w:rsidRPr="0061744E" w:rsidRDefault="0061744E" w:rsidP="0061744E">
      <w:pPr>
        <w:pStyle w:val="NormalWeb"/>
        <w:shd w:val="clear" w:color="auto" w:fill="FFFFFF"/>
        <w:spacing w:before="120" w:beforeAutospacing="0" w:after="120" w:afterAutospacing="0"/>
        <w:jc w:val="both"/>
        <w:rPr>
          <w:rFonts w:ascii="Sylfaen" w:hAnsi="Sylfaen" w:cs="Arial"/>
          <w:color w:val="222222"/>
          <w:sz w:val="22"/>
          <w:szCs w:val="22"/>
        </w:rPr>
      </w:pPr>
      <w:r w:rsidRPr="0061744E">
        <w:rPr>
          <w:rFonts w:ascii="Sylfaen" w:hAnsi="Sylfaen" w:cs="Arial"/>
          <w:color w:val="222222"/>
          <w:sz w:val="22"/>
          <w:szCs w:val="22"/>
        </w:rPr>
        <w:t xml:space="preserve">All IFIs </w:t>
      </w:r>
      <w:r w:rsidRPr="0061744E">
        <w:rPr>
          <w:rFonts w:ascii="Sylfaen" w:hAnsi="Sylfaen" w:cs="Arial"/>
          <w:color w:val="222222"/>
          <w:sz w:val="22"/>
          <w:szCs w:val="22"/>
        </w:rPr>
        <w:t>mobilized</w:t>
      </w:r>
      <w:r w:rsidRPr="0061744E">
        <w:rPr>
          <w:rFonts w:ascii="Sylfaen" w:hAnsi="Sylfaen" w:cs="Arial"/>
          <w:color w:val="222222"/>
          <w:sz w:val="22"/>
          <w:szCs w:val="22"/>
        </w:rPr>
        <w:t xml:space="preserve"> US$8·9 billion (2·3% of ove</w:t>
      </w:r>
      <w:r>
        <w:rPr>
          <w:rFonts w:ascii="Sylfaen" w:hAnsi="Sylfaen" w:cs="Arial"/>
          <w:color w:val="222222"/>
          <w:sz w:val="22"/>
          <w:szCs w:val="22"/>
        </w:rPr>
        <w:t xml:space="preserve">rall DAH) in 2002–15. The funds </w:t>
      </w:r>
      <w:r w:rsidRPr="0061744E">
        <w:rPr>
          <w:rFonts w:ascii="Sylfaen" w:hAnsi="Sylfaen" w:cs="Arial"/>
          <w:color w:val="222222"/>
          <w:sz w:val="22"/>
          <w:szCs w:val="22"/>
        </w:rPr>
        <w:t xml:space="preserve">generated by IFIs were </w:t>
      </w:r>
      <w:r w:rsidRPr="0061744E">
        <w:rPr>
          <w:rFonts w:ascii="Sylfaen" w:hAnsi="Sylfaen" w:cs="Arial"/>
          <w:color w:val="222222"/>
          <w:sz w:val="22"/>
          <w:szCs w:val="22"/>
        </w:rPr>
        <w:t>channeled</w:t>
      </w:r>
      <w:r w:rsidRPr="0061744E">
        <w:rPr>
          <w:rFonts w:ascii="Sylfaen" w:hAnsi="Sylfaen" w:cs="Arial"/>
          <w:color w:val="222222"/>
          <w:sz w:val="22"/>
          <w:szCs w:val="22"/>
        </w:rPr>
        <w:t xml:space="preserve"> mostly through GAVI and the Global Fund, and used for </w:t>
      </w:r>
      <w:proofErr w:type="spellStart"/>
      <w:r w:rsidRPr="0061744E">
        <w:rPr>
          <w:rFonts w:ascii="Sylfaen" w:hAnsi="Sylfaen" w:cs="Arial"/>
          <w:color w:val="222222"/>
          <w:sz w:val="22"/>
          <w:szCs w:val="22"/>
        </w:rPr>
        <w:t>programmes</w:t>
      </w:r>
      <w:proofErr w:type="spellEnd"/>
      <w:r w:rsidRPr="0061744E">
        <w:rPr>
          <w:rFonts w:ascii="Sylfaen" w:hAnsi="Sylfaen" w:cs="Arial"/>
          <w:color w:val="222222"/>
          <w:sz w:val="22"/>
          <w:szCs w:val="22"/>
        </w:rPr>
        <w:t xml:space="preserve"> for new and underused vaccines, HIV/AIDS, malaria, tuberculosis, and maternal and child health. Vaccination </w:t>
      </w:r>
      <w:proofErr w:type="spellStart"/>
      <w:r w:rsidRPr="0061744E">
        <w:rPr>
          <w:rFonts w:ascii="Sylfaen" w:hAnsi="Sylfaen" w:cs="Arial"/>
          <w:color w:val="222222"/>
          <w:sz w:val="22"/>
          <w:szCs w:val="22"/>
        </w:rPr>
        <w:t>programmes</w:t>
      </w:r>
      <w:proofErr w:type="spellEnd"/>
      <w:r w:rsidRPr="0061744E">
        <w:rPr>
          <w:rFonts w:ascii="Sylfaen" w:hAnsi="Sylfaen" w:cs="Arial"/>
          <w:color w:val="222222"/>
          <w:sz w:val="22"/>
          <w:szCs w:val="22"/>
        </w:rPr>
        <w:t xml:space="preserve"> received the largest amount of funding ($2·6 billion), followed by HIV/AIDS ($1080·7 million) and malaria ($1028·9 million), with no discernible funding targeted to non-communicable diseases.</w:t>
      </w:r>
    </w:p>
    <w:p w14:paraId="1C1EE4F5" w14:textId="05E48C2C" w:rsidR="00040C07" w:rsidRDefault="00040C07" w:rsidP="00B96748">
      <w:pPr>
        <w:pStyle w:val="NormalWeb"/>
        <w:shd w:val="clear" w:color="auto" w:fill="FFFFFF"/>
        <w:spacing w:before="120" w:beforeAutospacing="0" w:after="120" w:afterAutospacing="0"/>
        <w:rPr>
          <w:rFonts w:ascii="Sylfaen" w:hAnsi="Sylfaen" w:cs="Arial"/>
          <w:color w:val="222222"/>
          <w:sz w:val="22"/>
          <w:szCs w:val="22"/>
        </w:rPr>
      </w:pPr>
      <w:r w:rsidRPr="00040C07">
        <w:rPr>
          <w:rFonts w:ascii="Sylfaen" w:hAnsi="Sylfaen" w:cs="Arial"/>
          <w:color w:val="222222"/>
          <w:sz w:val="22"/>
          <w:szCs w:val="22"/>
        </w:rPr>
        <w:t xml:space="preserve">The development process of new innovative financing mechanisms has been improved thanks to the contribution of various players. </w:t>
      </w:r>
      <w:r w:rsidR="0061744E" w:rsidRPr="00040C07">
        <w:rPr>
          <w:rFonts w:ascii="Sylfaen" w:hAnsi="Sylfaen" w:cs="Arial"/>
          <w:color w:val="222222"/>
          <w:sz w:val="22"/>
          <w:szCs w:val="22"/>
        </w:rPr>
        <w:t>An interagency initiative such as The High Level Taskforce on Innovative International Financing for Health Systems and The Leading Group on Innovative Financing for Development have facilitated coordination processes between actors and is</w:t>
      </w:r>
      <w:r w:rsidRPr="00040C07">
        <w:rPr>
          <w:rFonts w:ascii="Sylfaen" w:hAnsi="Sylfaen" w:cs="Arial"/>
          <w:color w:val="222222"/>
          <w:sz w:val="22"/>
          <w:szCs w:val="22"/>
        </w:rPr>
        <w:t xml:space="preserve"> also a platform for introducing new innovative financing mechanisms</w:t>
      </w:r>
      <w:r w:rsidR="0061744E">
        <w:rPr>
          <w:rFonts w:ascii="Sylfaen" w:hAnsi="Sylfaen" w:cs="Arial"/>
          <w:color w:val="222222"/>
          <w:sz w:val="22"/>
          <w:szCs w:val="22"/>
        </w:rPr>
        <w:t>.</w:t>
      </w:r>
    </w:p>
    <w:p w14:paraId="47FE945D" w14:textId="77777777" w:rsidR="00886686" w:rsidRDefault="00886686" w:rsidP="00B96748">
      <w:pPr>
        <w:pStyle w:val="NormalWeb"/>
        <w:shd w:val="clear" w:color="auto" w:fill="FFFFFF"/>
        <w:spacing w:before="120" w:beforeAutospacing="0" w:after="120" w:afterAutospacing="0"/>
        <w:rPr>
          <w:rFonts w:ascii="Sylfaen" w:hAnsi="Sylfaen" w:cs="Arial"/>
          <w:color w:val="222222"/>
          <w:sz w:val="22"/>
          <w:szCs w:val="22"/>
        </w:rPr>
      </w:pPr>
    </w:p>
    <w:p w14:paraId="559F507E" w14:textId="3F8EBC9E" w:rsidR="00886686" w:rsidRDefault="000728DF" w:rsidP="00B96748">
      <w:pPr>
        <w:pStyle w:val="NormalWeb"/>
        <w:shd w:val="clear" w:color="auto" w:fill="FFFFFF"/>
        <w:spacing w:before="120" w:beforeAutospacing="0" w:after="120" w:afterAutospacing="0"/>
        <w:rPr>
          <w:rFonts w:ascii="Sylfaen" w:hAnsi="Sylfaen" w:cs="Arial"/>
          <w:color w:val="222222"/>
          <w:sz w:val="22"/>
          <w:szCs w:val="22"/>
        </w:rPr>
      </w:pPr>
      <w:r w:rsidRPr="000728DF">
        <w:rPr>
          <w:rFonts w:ascii="Sylfaen" w:hAnsi="Sylfaen" w:cs="Arial"/>
          <w:color w:val="222222"/>
          <w:sz w:val="22"/>
          <w:szCs w:val="22"/>
        </w:rPr>
        <w:t>Governments should aim to move towards a predominant reliance on public funding for health, as evidence shows this increases access to health services and improves financial protection for the population. This is a key message in a new policy brief about raising revenues for health in support of Universal Health Coverage.</w:t>
      </w:r>
    </w:p>
    <w:p w14:paraId="0FE84DC4" w14:textId="77777777" w:rsidR="00531F98" w:rsidRDefault="00531F98" w:rsidP="00B96748">
      <w:pPr>
        <w:pStyle w:val="NormalWeb"/>
        <w:shd w:val="clear" w:color="auto" w:fill="FFFFFF"/>
        <w:spacing w:before="120" w:beforeAutospacing="0" w:after="120" w:afterAutospacing="0"/>
      </w:pPr>
    </w:p>
    <w:p w14:paraId="2558B117" w14:textId="74663410" w:rsidR="00531F98" w:rsidRDefault="00531F98" w:rsidP="00B96748">
      <w:pPr>
        <w:pStyle w:val="NormalWeb"/>
        <w:shd w:val="clear" w:color="auto" w:fill="FFFFFF"/>
        <w:spacing w:before="120" w:beforeAutospacing="0" w:after="120" w:afterAutospacing="0"/>
        <w:rPr>
          <w:rFonts w:ascii="Sylfaen" w:hAnsi="Sylfaen" w:cs="Arial"/>
          <w:color w:val="222222"/>
          <w:sz w:val="22"/>
          <w:szCs w:val="22"/>
        </w:rPr>
      </w:pPr>
      <w:r w:rsidRPr="00531F98">
        <w:rPr>
          <w:rFonts w:ascii="Sylfaen" w:hAnsi="Sylfaen" w:cs="Arial"/>
          <w:color w:val="222222"/>
          <w:sz w:val="22"/>
          <w:szCs w:val="22"/>
        </w:rPr>
        <w:t>STRATEGIC PURCHASING IMPORTANT FOR UNIVERSAL HEALTH COVERAGE</w:t>
      </w:r>
    </w:p>
    <w:p w14:paraId="3B11BA1B" w14:textId="0E67A9DA" w:rsidR="00531F98" w:rsidRDefault="006447B5" w:rsidP="006447B5">
      <w:pPr>
        <w:pStyle w:val="NormalWeb"/>
        <w:shd w:val="clear" w:color="auto" w:fill="FFFFFF"/>
        <w:spacing w:before="120" w:after="120"/>
        <w:jc w:val="both"/>
      </w:pPr>
      <w:r>
        <w:t xml:space="preserve">Strategic purchasing transforms budgets into </w:t>
      </w:r>
      <w:r>
        <w:t>effective</w:t>
      </w:r>
      <w:r>
        <w:t xml:space="preserve"> coverage, with the</w:t>
      </w:r>
      <w:r>
        <w:t xml:space="preserve"> aim of realizing gains in effi</w:t>
      </w:r>
      <w:r>
        <w:t>ciency and managing expenditure growth.</w:t>
      </w:r>
      <w:r>
        <w:t xml:space="preserve"> </w:t>
      </w:r>
      <w:r>
        <w:t>This frees up resource</w:t>
      </w:r>
      <w:r>
        <w:t xml:space="preserve">s and, as such, is an important </w:t>
      </w:r>
      <w:r>
        <w:t>revenue source for expanding service or cost cove</w:t>
      </w:r>
      <w:bookmarkStart w:id="0" w:name="_GoBack"/>
      <w:bookmarkEnd w:id="0"/>
      <w:r>
        <w:t>rage. It also seeks to improve quality by givi</w:t>
      </w:r>
      <w:r>
        <w:t xml:space="preserve">ng signals to health providers. </w:t>
      </w:r>
      <w:r>
        <w:t>Strategic purchasing can also improve financial protection on through reduced out-of</w:t>
      </w:r>
      <w:r>
        <w:t>-</w:t>
      </w:r>
      <w:r>
        <w:t>pocket expenditure, make the distribution on of</w:t>
      </w:r>
      <w:r>
        <w:t xml:space="preserve"> </w:t>
      </w:r>
      <w:r>
        <w:t>resources more equitable and enhance the transparency and accountability of providers and purchasers</w:t>
      </w:r>
      <w:r>
        <w:t>.</w:t>
      </w:r>
    </w:p>
    <w:p w14:paraId="22EFA3FB" w14:textId="4BC30DE4" w:rsidR="006447B5" w:rsidRDefault="006447B5" w:rsidP="000C161D">
      <w:pPr>
        <w:pStyle w:val="NormalWeb"/>
        <w:shd w:val="clear" w:color="auto" w:fill="FFFFFF"/>
        <w:spacing w:before="120" w:after="120"/>
        <w:jc w:val="both"/>
      </w:pPr>
      <w:r w:rsidRPr="000C161D">
        <w:t>There is</w:t>
      </w:r>
      <w:r w:rsidRPr="000C161D">
        <w:t xml:space="preserve"> a range of measures and policy </w:t>
      </w:r>
      <w:r w:rsidRPr="000C161D">
        <w:t>op</w:t>
      </w:r>
      <w:r w:rsidRPr="000C161D">
        <w:t>ti</w:t>
      </w:r>
      <w:r w:rsidRPr="000C161D">
        <w:t>ons that a</w:t>
      </w:r>
      <w:r w:rsidRPr="000C161D">
        <w:t xml:space="preserve"> country can apply to move more </w:t>
      </w:r>
      <w:r w:rsidRPr="000C161D">
        <w:t>towards strategic purchasing</w:t>
      </w:r>
      <w:r w:rsidRPr="000C161D">
        <w:t xml:space="preserve">. </w:t>
      </w:r>
      <w:r w:rsidR="000C161D">
        <w:t>First, this involves the operationaliza</w:t>
      </w:r>
      <w:r w:rsidR="000C161D" w:rsidRPr="000C161D">
        <w:t>tion</w:t>
      </w:r>
      <w:r w:rsidRPr="000C161D">
        <w:t xml:space="preserve"> of beneﬁts to specify ent</w:t>
      </w:r>
      <w:r w:rsidR="000C161D">
        <w:t>it</w:t>
      </w:r>
      <w:r w:rsidRPr="000C161D">
        <w:t xml:space="preserve">lements and </w:t>
      </w:r>
      <w:r w:rsidR="000C161D" w:rsidRPr="000C161D">
        <w:t>obligations</w:t>
      </w:r>
      <w:r w:rsidRPr="000C161D">
        <w:t xml:space="preserve"> and to select providers to deliver these, while making sure</w:t>
      </w:r>
      <w:r w:rsidR="000C161D">
        <w:t xml:space="preserve"> that people are aware of their enti</w:t>
      </w:r>
      <w:r w:rsidRPr="000C161D">
        <w:t>tlements.  Secondly, payment methods need to be adjusted and aligned on a regular basis to</w:t>
      </w:r>
      <w:r w:rsidR="000C161D">
        <w:t xml:space="preserve"> create a coherent set of incent</w:t>
      </w:r>
      <w:r w:rsidR="000C161D" w:rsidRPr="000C161D">
        <w:t>ives</w:t>
      </w:r>
      <w:r w:rsidRPr="000C161D">
        <w:t xml:space="preserve"> in line with the health system </w:t>
      </w:r>
      <w:r w:rsidR="00FC1D67">
        <w:t>objectives</w:t>
      </w:r>
      <w:r w:rsidRPr="000C161D">
        <w:t xml:space="preserve"> and the country text. Thirdly, an integrated or interoperable </w:t>
      </w:r>
      <w:r w:rsidR="000C161D" w:rsidRPr="000C161D">
        <w:t>informa</w:t>
      </w:r>
      <w:r w:rsidR="000C161D">
        <w:t>t</w:t>
      </w:r>
      <w:r w:rsidR="000C161D" w:rsidRPr="000C161D">
        <w:t>ion</w:t>
      </w:r>
      <w:r w:rsidRPr="000C161D">
        <w:t xml:space="preserve"> management system is required to have appropriate data to take purchasing decisions. </w:t>
      </w:r>
      <w:r w:rsidRPr="000C161D">
        <w:lastRenderedPageBreak/>
        <w:t>Finally, e</w:t>
      </w:r>
      <w:r w:rsidR="000C161D">
        <w:t>ff</w:t>
      </w:r>
      <w:r w:rsidRPr="000C161D">
        <w:t>ective governance arrangements for purchasing are decisive for purchasers to act strategically and for managing the dynamics in purchasing.</w:t>
      </w:r>
    </w:p>
    <w:p w14:paraId="14F8BD4C" w14:textId="60F143CA" w:rsidR="00FC1D67" w:rsidRPr="00FC1D67" w:rsidRDefault="00FC1D67" w:rsidP="00FC1D67">
      <w:pPr>
        <w:pStyle w:val="NormalWeb"/>
        <w:shd w:val="clear" w:color="auto" w:fill="FFFFFF"/>
        <w:spacing w:before="120" w:after="120"/>
        <w:jc w:val="both"/>
      </w:pPr>
      <w:r w:rsidRPr="00FC1D67">
        <w:t xml:space="preserve">The move towards strategic </w:t>
      </w:r>
      <w:r w:rsidRPr="00FC1D67">
        <w:t>purchasin</w:t>
      </w:r>
      <w:r w:rsidRPr="00FC1D67">
        <w:t xml:space="preserve">g thus needs to be supported by </w:t>
      </w:r>
      <w:r w:rsidRPr="00FC1D67">
        <w:t>e</w:t>
      </w:r>
      <w:r w:rsidRPr="00FC1D67">
        <w:t xml:space="preserve">ffective governance arrangements. </w:t>
      </w:r>
      <w:r w:rsidRPr="00FC1D67">
        <w:t>Moreover, str</w:t>
      </w:r>
      <w:r w:rsidRPr="00FC1D67">
        <w:t xml:space="preserve">ategic purchasing policies must </w:t>
      </w:r>
      <w:r w:rsidRPr="00FC1D67">
        <w:t>be carefully c</w:t>
      </w:r>
      <w:r w:rsidRPr="00FC1D67">
        <w:t xml:space="preserve">onsidered in the light of other </w:t>
      </w:r>
      <w:r w:rsidRPr="00FC1D67">
        <w:t>health system and health ﬁ</w:t>
      </w:r>
      <w:r w:rsidRPr="00FC1D67">
        <w:t xml:space="preserve">nancing policies </w:t>
      </w:r>
      <w:r w:rsidRPr="00FC1D67">
        <w:t>and should be</w:t>
      </w:r>
      <w:r w:rsidRPr="00FC1D67">
        <w:t xml:space="preserve"> aligned with them. Finally, it </w:t>
      </w:r>
      <w:r w:rsidRPr="00FC1D67">
        <w:t>is important that health ﬁnancing strategies provide detailed orienta</w:t>
      </w:r>
      <w:r w:rsidRPr="00FC1D67">
        <w:t>ti</w:t>
      </w:r>
      <w:r w:rsidRPr="00FC1D67">
        <w:t xml:space="preserve">on for the various areas of strategic purchasing reform </w:t>
      </w:r>
      <w:r w:rsidRPr="00FC1D67">
        <w:t xml:space="preserve">to ensure </w:t>
      </w:r>
      <w:r w:rsidRPr="00FC1D67">
        <w:t>that budgets translate into promised beneﬁ</w:t>
      </w:r>
      <w:r w:rsidRPr="00FC1D67">
        <w:t>ts that are e</w:t>
      </w:r>
      <w:r w:rsidR="000A16F0">
        <w:t>ff</w:t>
      </w:r>
      <w:r w:rsidRPr="00FC1D67">
        <w:t xml:space="preserve">ectively </w:t>
      </w:r>
      <w:r w:rsidRPr="00FC1D67">
        <w:t>delivered.</w:t>
      </w:r>
    </w:p>
    <w:p w14:paraId="39EBB79C" w14:textId="77777777" w:rsidR="006447B5" w:rsidRDefault="006447B5" w:rsidP="006447B5">
      <w:pPr>
        <w:pStyle w:val="NormalWeb"/>
        <w:shd w:val="clear" w:color="auto" w:fill="FFFFFF"/>
        <w:spacing w:before="120" w:after="120"/>
        <w:jc w:val="both"/>
      </w:pPr>
    </w:p>
    <w:p w14:paraId="1EB7DB60" w14:textId="77777777" w:rsidR="006447B5" w:rsidRPr="006447B5" w:rsidRDefault="006447B5" w:rsidP="006447B5">
      <w:pPr>
        <w:pStyle w:val="NormalWeb"/>
        <w:shd w:val="clear" w:color="auto" w:fill="FFFFFF"/>
        <w:spacing w:before="120" w:after="120"/>
        <w:jc w:val="both"/>
      </w:pPr>
    </w:p>
    <w:p w14:paraId="54561FDD" w14:textId="77777777" w:rsidR="000728DF" w:rsidRDefault="000728DF" w:rsidP="00B96748">
      <w:pPr>
        <w:pStyle w:val="NormalWeb"/>
        <w:shd w:val="clear" w:color="auto" w:fill="FFFFFF"/>
        <w:spacing w:before="120" w:beforeAutospacing="0" w:after="120" w:afterAutospacing="0"/>
        <w:rPr>
          <w:rFonts w:ascii="Sylfaen" w:hAnsi="Sylfaen" w:cs="Arial"/>
          <w:color w:val="222222"/>
          <w:sz w:val="22"/>
          <w:szCs w:val="22"/>
        </w:rPr>
      </w:pPr>
    </w:p>
    <w:p w14:paraId="3600B615" w14:textId="77777777" w:rsidR="000728DF" w:rsidRDefault="000728DF" w:rsidP="00B96748">
      <w:pPr>
        <w:pStyle w:val="NormalWeb"/>
        <w:shd w:val="clear" w:color="auto" w:fill="FFFFFF"/>
        <w:spacing w:before="120" w:beforeAutospacing="0" w:after="120" w:afterAutospacing="0"/>
        <w:rPr>
          <w:rFonts w:ascii="Sylfaen" w:hAnsi="Sylfaen" w:cs="Arial"/>
          <w:color w:val="222222"/>
          <w:sz w:val="22"/>
          <w:szCs w:val="22"/>
        </w:rPr>
      </w:pPr>
    </w:p>
    <w:p w14:paraId="0C8E9964" w14:textId="77777777" w:rsidR="00886686" w:rsidRDefault="00886686" w:rsidP="00B96748">
      <w:pPr>
        <w:pStyle w:val="NormalWeb"/>
        <w:shd w:val="clear" w:color="auto" w:fill="FFFFFF"/>
        <w:spacing w:before="120" w:beforeAutospacing="0" w:after="120" w:afterAutospacing="0"/>
        <w:rPr>
          <w:rFonts w:ascii="Sylfaen" w:hAnsi="Sylfaen" w:cs="Arial"/>
          <w:color w:val="222222"/>
          <w:sz w:val="22"/>
          <w:szCs w:val="22"/>
        </w:rPr>
      </w:pPr>
    </w:p>
    <w:p w14:paraId="79A0C8D7" w14:textId="77777777" w:rsidR="0061744E" w:rsidRDefault="0061744E" w:rsidP="00B96748">
      <w:pPr>
        <w:pStyle w:val="NormalWeb"/>
        <w:shd w:val="clear" w:color="auto" w:fill="FFFFFF"/>
        <w:spacing w:before="120" w:beforeAutospacing="0" w:after="120" w:afterAutospacing="0"/>
        <w:rPr>
          <w:rFonts w:ascii="Sylfaen" w:hAnsi="Sylfaen" w:cs="Arial"/>
          <w:color w:val="222222"/>
          <w:sz w:val="22"/>
          <w:szCs w:val="22"/>
        </w:rPr>
      </w:pPr>
    </w:p>
    <w:p w14:paraId="2845E375" w14:textId="77777777" w:rsidR="0061744E" w:rsidRDefault="0061744E" w:rsidP="00B96748">
      <w:pPr>
        <w:pStyle w:val="NormalWeb"/>
        <w:shd w:val="clear" w:color="auto" w:fill="FFFFFF"/>
        <w:spacing w:before="120" w:beforeAutospacing="0" w:after="120" w:afterAutospacing="0"/>
        <w:rPr>
          <w:rFonts w:ascii="Sylfaen" w:hAnsi="Sylfaen" w:cs="Arial"/>
          <w:color w:val="222222"/>
          <w:sz w:val="22"/>
          <w:szCs w:val="22"/>
        </w:rPr>
      </w:pPr>
    </w:p>
    <w:p w14:paraId="35036D68" w14:textId="77777777" w:rsidR="00C0236C" w:rsidRDefault="00C0236C" w:rsidP="00C0236C">
      <w:pPr>
        <w:autoSpaceDE w:val="0"/>
        <w:autoSpaceDN w:val="0"/>
        <w:adjustRightInd w:val="0"/>
        <w:rPr>
          <w:rFonts w:ascii="Times New Roman" w:hAnsi="Times New Roman" w:cs="Times New Roman"/>
          <w:color w:val="000000"/>
          <w:sz w:val="18"/>
          <w:szCs w:val="18"/>
        </w:rPr>
      </w:pPr>
    </w:p>
    <w:p w14:paraId="6FEE2E3A" w14:textId="77777777" w:rsidR="0061744E" w:rsidRPr="0061744E" w:rsidRDefault="0061744E">
      <w:pPr>
        <w:pStyle w:val="NormalWeb"/>
        <w:shd w:val="clear" w:color="auto" w:fill="FFFFFF"/>
        <w:spacing w:before="120" w:beforeAutospacing="0" w:after="120" w:afterAutospacing="0"/>
        <w:jc w:val="both"/>
        <w:rPr>
          <w:rFonts w:ascii="Sylfaen" w:hAnsi="Sylfaen" w:cs="Arial"/>
          <w:color w:val="222222"/>
          <w:sz w:val="22"/>
          <w:szCs w:val="22"/>
        </w:rPr>
      </w:pPr>
    </w:p>
    <w:sectPr w:rsidR="0061744E" w:rsidRPr="0061744E" w:rsidSect="00CE1CC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2B3"/>
    <w:rsid w:val="00040C07"/>
    <w:rsid w:val="000728DF"/>
    <w:rsid w:val="000A16F0"/>
    <w:rsid w:val="000C161D"/>
    <w:rsid w:val="00142113"/>
    <w:rsid w:val="00271658"/>
    <w:rsid w:val="0045221E"/>
    <w:rsid w:val="00531F98"/>
    <w:rsid w:val="0061744E"/>
    <w:rsid w:val="006447B5"/>
    <w:rsid w:val="0066456F"/>
    <w:rsid w:val="007A3643"/>
    <w:rsid w:val="0086367A"/>
    <w:rsid w:val="00886686"/>
    <w:rsid w:val="00B96748"/>
    <w:rsid w:val="00C0236C"/>
    <w:rsid w:val="00CE1CC6"/>
    <w:rsid w:val="00D86FA1"/>
    <w:rsid w:val="00D94942"/>
    <w:rsid w:val="00DF57BE"/>
    <w:rsid w:val="00EC2353"/>
    <w:rsid w:val="00F572B3"/>
    <w:rsid w:val="00FC1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64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728DF"/>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B96748"/>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572B3"/>
    <w:rPr>
      <w:color w:val="0000FF"/>
      <w:u w:val="single"/>
    </w:rPr>
  </w:style>
  <w:style w:type="paragraph" w:styleId="NormalWeb">
    <w:name w:val="Normal (Web)"/>
    <w:basedOn w:val="Normal"/>
    <w:uiPriority w:val="99"/>
    <w:semiHidden/>
    <w:unhideWhenUsed/>
    <w:rsid w:val="00B96748"/>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B96748"/>
    <w:rPr>
      <w:rFonts w:ascii="Times New Roman" w:eastAsia="Times New Roman" w:hAnsi="Times New Roman" w:cs="Times New Roman"/>
      <w:b/>
      <w:bCs/>
      <w:sz w:val="36"/>
      <w:szCs w:val="36"/>
    </w:rPr>
  </w:style>
  <w:style w:type="character" w:customStyle="1" w:styleId="mw-headline">
    <w:name w:val="mw-headline"/>
    <w:basedOn w:val="DefaultParagraphFont"/>
    <w:rsid w:val="00B96748"/>
  </w:style>
  <w:style w:type="character" w:styleId="FollowedHyperlink">
    <w:name w:val="FollowedHyperlink"/>
    <w:basedOn w:val="DefaultParagraphFont"/>
    <w:uiPriority w:val="99"/>
    <w:semiHidden/>
    <w:unhideWhenUsed/>
    <w:rsid w:val="0045221E"/>
    <w:rPr>
      <w:color w:val="954F72" w:themeColor="followedHyperlink"/>
      <w:u w:val="single"/>
    </w:rPr>
  </w:style>
  <w:style w:type="character" w:customStyle="1" w:styleId="Heading1Char">
    <w:name w:val="Heading 1 Char"/>
    <w:basedOn w:val="DefaultParagraphFont"/>
    <w:link w:val="Heading1"/>
    <w:uiPriority w:val="9"/>
    <w:rsid w:val="000728DF"/>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728DF"/>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B96748"/>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572B3"/>
    <w:rPr>
      <w:color w:val="0000FF"/>
      <w:u w:val="single"/>
    </w:rPr>
  </w:style>
  <w:style w:type="paragraph" w:styleId="NormalWeb">
    <w:name w:val="Normal (Web)"/>
    <w:basedOn w:val="Normal"/>
    <w:uiPriority w:val="99"/>
    <w:semiHidden/>
    <w:unhideWhenUsed/>
    <w:rsid w:val="00B96748"/>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B96748"/>
    <w:rPr>
      <w:rFonts w:ascii="Times New Roman" w:eastAsia="Times New Roman" w:hAnsi="Times New Roman" w:cs="Times New Roman"/>
      <w:b/>
      <w:bCs/>
      <w:sz w:val="36"/>
      <w:szCs w:val="36"/>
    </w:rPr>
  </w:style>
  <w:style w:type="character" w:customStyle="1" w:styleId="mw-headline">
    <w:name w:val="mw-headline"/>
    <w:basedOn w:val="DefaultParagraphFont"/>
    <w:rsid w:val="00B96748"/>
  </w:style>
  <w:style w:type="character" w:styleId="FollowedHyperlink">
    <w:name w:val="FollowedHyperlink"/>
    <w:basedOn w:val="DefaultParagraphFont"/>
    <w:uiPriority w:val="99"/>
    <w:semiHidden/>
    <w:unhideWhenUsed/>
    <w:rsid w:val="0045221E"/>
    <w:rPr>
      <w:color w:val="954F72" w:themeColor="followedHyperlink"/>
      <w:u w:val="single"/>
    </w:rPr>
  </w:style>
  <w:style w:type="character" w:customStyle="1" w:styleId="Heading1Char">
    <w:name w:val="Heading 1 Char"/>
    <w:basedOn w:val="DefaultParagraphFont"/>
    <w:link w:val="Heading1"/>
    <w:uiPriority w:val="9"/>
    <w:rsid w:val="000728DF"/>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718037">
      <w:bodyDiv w:val="1"/>
      <w:marLeft w:val="0"/>
      <w:marRight w:val="0"/>
      <w:marTop w:val="0"/>
      <w:marBottom w:val="0"/>
      <w:divBdr>
        <w:top w:val="none" w:sz="0" w:space="0" w:color="auto"/>
        <w:left w:val="none" w:sz="0" w:space="0" w:color="auto"/>
        <w:bottom w:val="none" w:sz="0" w:space="0" w:color="auto"/>
        <w:right w:val="none" w:sz="0" w:space="0" w:color="auto"/>
      </w:divBdr>
    </w:div>
    <w:div w:id="529072910">
      <w:bodyDiv w:val="1"/>
      <w:marLeft w:val="0"/>
      <w:marRight w:val="0"/>
      <w:marTop w:val="0"/>
      <w:marBottom w:val="0"/>
      <w:divBdr>
        <w:top w:val="none" w:sz="0" w:space="0" w:color="auto"/>
        <w:left w:val="none" w:sz="0" w:space="0" w:color="auto"/>
        <w:bottom w:val="none" w:sz="0" w:space="0" w:color="auto"/>
        <w:right w:val="none" w:sz="0" w:space="0" w:color="auto"/>
      </w:divBdr>
    </w:div>
    <w:div w:id="549540085">
      <w:bodyDiv w:val="1"/>
      <w:marLeft w:val="0"/>
      <w:marRight w:val="0"/>
      <w:marTop w:val="0"/>
      <w:marBottom w:val="0"/>
      <w:divBdr>
        <w:top w:val="none" w:sz="0" w:space="0" w:color="auto"/>
        <w:left w:val="none" w:sz="0" w:space="0" w:color="auto"/>
        <w:bottom w:val="none" w:sz="0" w:space="0" w:color="auto"/>
        <w:right w:val="none" w:sz="0" w:space="0" w:color="auto"/>
      </w:divBdr>
    </w:div>
    <w:div w:id="617369922">
      <w:bodyDiv w:val="1"/>
      <w:marLeft w:val="0"/>
      <w:marRight w:val="0"/>
      <w:marTop w:val="0"/>
      <w:marBottom w:val="0"/>
      <w:divBdr>
        <w:top w:val="none" w:sz="0" w:space="0" w:color="auto"/>
        <w:left w:val="none" w:sz="0" w:space="0" w:color="auto"/>
        <w:bottom w:val="none" w:sz="0" w:space="0" w:color="auto"/>
        <w:right w:val="none" w:sz="0" w:space="0" w:color="auto"/>
      </w:divBdr>
    </w:div>
    <w:div w:id="792480653">
      <w:bodyDiv w:val="1"/>
      <w:marLeft w:val="0"/>
      <w:marRight w:val="0"/>
      <w:marTop w:val="0"/>
      <w:marBottom w:val="0"/>
      <w:divBdr>
        <w:top w:val="none" w:sz="0" w:space="0" w:color="auto"/>
        <w:left w:val="none" w:sz="0" w:space="0" w:color="auto"/>
        <w:bottom w:val="none" w:sz="0" w:space="0" w:color="auto"/>
        <w:right w:val="none" w:sz="0" w:space="0" w:color="auto"/>
      </w:divBdr>
    </w:div>
    <w:div w:id="852648219">
      <w:bodyDiv w:val="1"/>
      <w:marLeft w:val="0"/>
      <w:marRight w:val="0"/>
      <w:marTop w:val="0"/>
      <w:marBottom w:val="0"/>
      <w:divBdr>
        <w:top w:val="none" w:sz="0" w:space="0" w:color="auto"/>
        <w:left w:val="none" w:sz="0" w:space="0" w:color="auto"/>
        <w:bottom w:val="none" w:sz="0" w:space="0" w:color="auto"/>
        <w:right w:val="none" w:sz="0" w:space="0" w:color="auto"/>
      </w:divBdr>
    </w:div>
    <w:div w:id="908223230">
      <w:bodyDiv w:val="1"/>
      <w:marLeft w:val="0"/>
      <w:marRight w:val="0"/>
      <w:marTop w:val="0"/>
      <w:marBottom w:val="0"/>
      <w:divBdr>
        <w:top w:val="none" w:sz="0" w:space="0" w:color="auto"/>
        <w:left w:val="none" w:sz="0" w:space="0" w:color="auto"/>
        <w:bottom w:val="none" w:sz="0" w:space="0" w:color="auto"/>
        <w:right w:val="none" w:sz="0" w:space="0" w:color="auto"/>
      </w:divBdr>
    </w:div>
    <w:div w:id="1022321504">
      <w:bodyDiv w:val="1"/>
      <w:marLeft w:val="0"/>
      <w:marRight w:val="0"/>
      <w:marTop w:val="0"/>
      <w:marBottom w:val="0"/>
      <w:divBdr>
        <w:top w:val="none" w:sz="0" w:space="0" w:color="auto"/>
        <w:left w:val="none" w:sz="0" w:space="0" w:color="auto"/>
        <w:bottom w:val="none" w:sz="0" w:space="0" w:color="auto"/>
        <w:right w:val="none" w:sz="0" w:space="0" w:color="auto"/>
      </w:divBdr>
    </w:div>
    <w:div w:id="1130902160">
      <w:bodyDiv w:val="1"/>
      <w:marLeft w:val="0"/>
      <w:marRight w:val="0"/>
      <w:marTop w:val="0"/>
      <w:marBottom w:val="0"/>
      <w:divBdr>
        <w:top w:val="none" w:sz="0" w:space="0" w:color="auto"/>
        <w:left w:val="none" w:sz="0" w:space="0" w:color="auto"/>
        <w:bottom w:val="none" w:sz="0" w:space="0" w:color="auto"/>
        <w:right w:val="none" w:sz="0" w:space="0" w:color="auto"/>
      </w:divBdr>
    </w:div>
    <w:div w:id="1315329102">
      <w:bodyDiv w:val="1"/>
      <w:marLeft w:val="0"/>
      <w:marRight w:val="0"/>
      <w:marTop w:val="0"/>
      <w:marBottom w:val="0"/>
      <w:divBdr>
        <w:top w:val="none" w:sz="0" w:space="0" w:color="auto"/>
        <w:left w:val="none" w:sz="0" w:space="0" w:color="auto"/>
        <w:bottom w:val="none" w:sz="0" w:space="0" w:color="auto"/>
        <w:right w:val="none" w:sz="0" w:space="0" w:color="auto"/>
      </w:divBdr>
    </w:div>
    <w:div w:id="189152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3</Pages>
  <Words>1144</Words>
  <Characters>6526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Ketevan Goginashvili</cp:lastModifiedBy>
  <cp:revision>8</cp:revision>
  <dcterms:created xsi:type="dcterms:W3CDTF">2019-05-15T02:43:00Z</dcterms:created>
  <dcterms:modified xsi:type="dcterms:W3CDTF">2019-05-15T12:40:00Z</dcterms:modified>
</cp:coreProperties>
</file>